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AF0" w:rsidRPr="007B1A09" w:rsidRDefault="00EB7AF0" w:rsidP="007B1A09">
      <w:pPr>
        <w:autoSpaceDE w:val="0"/>
        <w:autoSpaceDN w:val="0"/>
        <w:adjustRightInd w:val="0"/>
        <w:spacing w:after="0" w:line="240" w:lineRule="auto"/>
        <w:jc w:val="center"/>
        <w:rPr>
          <w:rFonts w:ascii="Times New Roman" w:hAnsi="Times New Roman" w:cs="Times New Roman"/>
          <w:b/>
          <w:sz w:val="20"/>
          <w:szCs w:val="20"/>
          <w:u w:val="single"/>
        </w:rPr>
      </w:pPr>
      <w:r w:rsidRPr="007B1A09">
        <w:rPr>
          <w:rFonts w:ascii="Times New Roman" w:hAnsi="Times New Roman" w:cs="Times New Roman"/>
          <w:b/>
          <w:sz w:val="20"/>
          <w:szCs w:val="20"/>
          <w:u w:val="single"/>
        </w:rPr>
        <w:t>Ten</w:t>
      </w:r>
      <w:r w:rsidR="002037AE">
        <w:rPr>
          <w:rFonts w:ascii="Times New Roman" w:hAnsi="Times New Roman" w:cs="Times New Roman"/>
          <w:b/>
          <w:sz w:val="20"/>
          <w:szCs w:val="20"/>
          <w:u w:val="single"/>
        </w:rPr>
        <w:t>+</w:t>
      </w:r>
      <w:r w:rsidRPr="007B1A09">
        <w:rPr>
          <w:rFonts w:ascii="Times New Roman" w:hAnsi="Times New Roman" w:cs="Times New Roman"/>
          <w:b/>
          <w:sz w:val="20"/>
          <w:szCs w:val="20"/>
          <w:u w:val="single"/>
        </w:rPr>
        <w:t xml:space="preserve"> Effective Research-Based</w:t>
      </w:r>
      <w:r w:rsidR="0016622E" w:rsidRPr="007B1A09">
        <w:rPr>
          <w:rFonts w:ascii="Times New Roman" w:hAnsi="Times New Roman" w:cs="Times New Roman"/>
          <w:b/>
          <w:sz w:val="20"/>
          <w:szCs w:val="20"/>
          <w:u w:val="single"/>
        </w:rPr>
        <w:t xml:space="preserve"> </w:t>
      </w:r>
      <w:r w:rsidRPr="007B1A09">
        <w:rPr>
          <w:rFonts w:ascii="Times New Roman" w:hAnsi="Times New Roman" w:cs="Times New Roman"/>
          <w:b/>
          <w:sz w:val="20"/>
          <w:szCs w:val="20"/>
          <w:u w:val="single"/>
        </w:rPr>
        <w:t>Instructional Strategies*</w:t>
      </w:r>
    </w:p>
    <w:p w:rsidR="00EB7AF0" w:rsidRPr="0016622E" w:rsidRDefault="00EB7AF0" w:rsidP="00EB7AF0">
      <w:pPr>
        <w:autoSpaceDE w:val="0"/>
        <w:autoSpaceDN w:val="0"/>
        <w:adjustRightInd w:val="0"/>
        <w:spacing w:after="0" w:line="240" w:lineRule="auto"/>
        <w:rPr>
          <w:rFonts w:ascii="Times New Roman" w:hAnsi="Times New Roman" w:cs="Times New Roman"/>
          <w:sz w:val="20"/>
          <w:szCs w:val="20"/>
        </w:rPr>
      </w:pPr>
    </w:p>
    <w:p w:rsidR="00EB7AF0" w:rsidRPr="0016622E" w:rsidRDefault="00EB7AF0" w:rsidP="00EB7AF0">
      <w:pPr>
        <w:autoSpaceDE w:val="0"/>
        <w:autoSpaceDN w:val="0"/>
        <w:adjustRightInd w:val="0"/>
        <w:spacing w:after="0" w:line="240" w:lineRule="auto"/>
        <w:rPr>
          <w:rFonts w:ascii="Times New Roman" w:hAnsi="Times New Roman" w:cs="Times New Roman"/>
          <w:sz w:val="20"/>
          <w:szCs w:val="20"/>
        </w:rPr>
      </w:pPr>
      <w:proofErr w:type="spellStart"/>
      <w:r w:rsidRPr="0016622E">
        <w:rPr>
          <w:rFonts w:ascii="Times New Roman" w:hAnsi="Times New Roman" w:cs="Times New Roman"/>
          <w:sz w:val="20"/>
          <w:szCs w:val="20"/>
        </w:rPr>
        <w:t>Marzano</w:t>
      </w:r>
      <w:proofErr w:type="spellEnd"/>
      <w:r w:rsidRPr="0016622E">
        <w:rPr>
          <w:rFonts w:ascii="Times New Roman" w:hAnsi="Times New Roman" w:cs="Times New Roman"/>
          <w:sz w:val="20"/>
          <w:szCs w:val="20"/>
        </w:rPr>
        <w:t xml:space="preserve"> (2000) identified ten research-based, effective instructional</w:t>
      </w:r>
      <w:r w:rsidR="0016622E">
        <w:rPr>
          <w:rFonts w:ascii="Times New Roman" w:hAnsi="Times New Roman" w:cs="Times New Roman"/>
          <w:sz w:val="20"/>
          <w:szCs w:val="20"/>
        </w:rPr>
        <w:t xml:space="preserve"> </w:t>
      </w:r>
      <w:r w:rsidRPr="0016622E">
        <w:rPr>
          <w:rFonts w:ascii="Times New Roman" w:hAnsi="Times New Roman" w:cs="Times New Roman"/>
          <w:sz w:val="20"/>
          <w:szCs w:val="20"/>
        </w:rPr>
        <w:t>strategies that cut across all content areas and all grade levels. Each</w:t>
      </w:r>
      <w:r w:rsidR="0016622E">
        <w:rPr>
          <w:rFonts w:ascii="Times New Roman" w:hAnsi="Times New Roman" w:cs="Times New Roman"/>
          <w:sz w:val="20"/>
          <w:szCs w:val="20"/>
        </w:rPr>
        <w:t xml:space="preserve"> </w:t>
      </w:r>
      <w:r w:rsidRPr="0016622E">
        <w:rPr>
          <w:rFonts w:ascii="Times New Roman" w:hAnsi="Times New Roman" w:cs="Times New Roman"/>
          <w:sz w:val="20"/>
          <w:szCs w:val="20"/>
        </w:rPr>
        <w:t>requires specific implementation techniques to produce the effect sizes</w:t>
      </w:r>
      <w:r w:rsidR="0016622E">
        <w:rPr>
          <w:rFonts w:ascii="Times New Roman" w:hAnsi="Times New Roman" w:cs="Times New Roman"/>
          <w:sz w:val="20"/>
          <w:szCs w:val="20"/>
        </w:rPr>
        <w:t xml:space="preserve"> </w:t>
      </w:r>
      <w:r w:rsidRPr="0016622E">
        <w:rPr>
          <w:rFonts w:ascii="Times New Roman" w:hAnsi="Times New Roman" w:cs="Times New Roman"/>
          <w:sz w:val="20"/>
          <w:szCs w:val="20"/>
        </w:rPr>
        <w:t xml:space="preserve">reported, so their use </w:t>
      </w:r>
      <w:r w:rsidRPr="0016622E">
        <w:rPr>
          <w:rFonts w:ascii="Times New Roman" w:hAnsi="Times New Roman" w:cs="Times New Roman"/>
          <w:b/>
          <w:sz w:val="20"/>
          <w:szCs w:val="20"/>
          <w:u w:val="single"/>
        </w:rPr>
        <w:t>requires learning to use them correctly.</w:t>
      </w:r>
    </w:p>
    <w:p w:rsidR="0016622E" w:rsidRPr="0016622E" w:rsidRDefault="0016622E" w:rsidP="00EB7AF0">
      <w:pPr>
        <w:autoSpaceDE w:val="0"/>
        <w:autoSpaceDN w:val="0"/>
        <w:adjustRightInd w:val="0"/>
        <w:spacing w:after="0" w:line="240" w:lineRule="auto"/>
        <w:rPr>
          <w:rFonts w:ascii="Times New Roman" w:hAnsi="Times New Roman" w:cs="Times New Roman"/>
          <w:sz w:val="20"/>
          <w:szCs w:val="20"/>
        </w:rPr>
      </w:pP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Researchers at Mid-Continent Research for Education and Learning (</w:t>
      </w:r>
      <w:proofErr w:type="spellStart"/>
      <w:r w:rsidRPr="0016622E">
        <w:rPr>
          <w:rFonts w:ascii="Times New Roman" w:hAnsi="Times New Roman" w:cs="Times New Roman"/>
          <w:sz w:val="20"/>
          <w:szCs w:val="20"/>
        </w:rPr>
        <w:t>McREL</w:t>
      </w:r>
      <w:proofErr w:type="spellEnd"/>
      <w:r w:rsidRPr="0016622E">
        <w:rPr>
          <w:rFonts w:ascii="Times New Roman" w:hAnsi="Times New Roman" w:cs="Times New Roman"/>
          <w:sz w:val="20"/>
          <w:szCs w:val="20"/>
        </w:rPr>
        <w:t>) have identified 9</w:t>
      </w:r>
      <w:r w:rsidR="007B1A09">
        <w:rPr>
          <w:rFonts w:ascii="Times New Roman" w:hAnsi="Times New Roman" w:cs="Times New Roman"/>
          <w:sz w:val="20"/>
          <w:szCs w:val="20"/>
        </w:rPr>
        <w:t xml:space="preserve"> </w:t>
      </w:r>
      <w:r w:rsidRPr="0016622E">
        <w:rPr>
          <w:rFonts w:ascii="Times New Roman" w:hAnsi="Times New Roman" w:cs="Times New Roman"/>
          <w:sz w:val="20"/>
          <w:szCs w:val="20"/>
        </w:rPr>
        <w:t xml:space="preserve">instructional strategies “that have a high probability of enhancing student achievement for all students in all subject areas at all grade levels.” These research-based instructional strategies (RBIS) are explained in the book, </w:t>
      </w:r>
      <w:r w:rsidRPr="0016622E">
        <w:rPr>
          <w:rFonts w:ascii="Times New Roman" w:hAnsi="Times New Roman" w:cs="Times New Roman"/>
          <w:b/>
          <w:bCs/>
          <w:sz w:val="20"/>
          <w:szCs w:val="20"/>
        </w:rPr>
        <w:t>Classroom Instruction That Works</w:t>
      </w:r>
      <w:r w:rsidRPr="0016622E">
        <w:rPr>
          <w:rFonts w:ascii="Times New Roman" w:hAnsi="Times New Roman" w:cs="Times New Roman"/>
          <w:sz w:val="20"/>
          <w:szCs w:val="20"/>
        </w:rPr>
        <w:t xml:space="preserve">, ASCD, 2001, by Robert J. </w:t>
      </w:r>
      <w:proofErr w:type="spellStart"/>
      <w:r w:rsidRPr="0016622E">
        <w:rPr>
          <w:rFonts w:ascii="Times New Roman" w:hAnsi="Times New Roman" w:cs="Times New Roman"/>
          <w:sz w:val="20"/>
          <w:szCs w:val="20"/>
        </w:rPr>
        <w:t>Marzano</w:t>
      </w:r>
      <w:proofErr w:type="spellEnd"/>
      <w:r w:rsidRPr="0016622E">
        <w:rPr>
          <w:rFonts w:ascii="Times New Roman" w:hAnsi="Times New Roman" w:cs="Times New Roman"/>
          <w:sz w:val="20"/>
          <w:szCs w:val="20"/>
        </w:rPr>
        <w:t>, Debra J. Pickering, and Jane E. Pollock.</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 xml:space="preserve"> </w:t>
      </w:r>
      <w:r w:rsidR="00D35E70">
        <w:rPr>
          <w:rFonts w:ascii="Times New Roman" w:hAnsi="Times New Roman" w:cs="Times New Roman"/>
          <w:sz w:val="20"/>
          <w:szCs w:val="20"/>
        </w:rPr>
        <w:t>The first 9 are l</w:t>
      </w:r>
      <w:r w:rsidRPr="0016622E">
        <w:rPr>
          <w:rFonts w:ascii="Times New Roman" w:hAnsi="Times New Roman" w:cs="Times New Roman"/>
          <w:sz w:val="20"/>
          <w:szCs w:val="20"/>
        </w:rPr>
        <w:t>isted in order of highest to lowest average effect size</w:t>
      </w:r>
      <w:r w:rsidR="00D35E70">
        <w:rPr>
          <w:rFonts w:ascii="Times New Roman" w:hAnsi="Times New Roman" w:cs="Times New Roman"/>
          <w:sz w:val="20"/>
          <w:szCs w:val="20"/>
        </w:rPr>
        <w:t xml:space="preserve"> (actually #10 is greatest </w:t>
      </w:r>
      <w:proofErr w:type="spellStart"/>
      <w:r w:rsidR="00D35E70">
        <w:rPr>
          <w:rFonts w:ascii="Times New Roman" w:hAnsi="Times New Roman" w:cs="Times New Roman"/>
          <w:sz w:val="20"/>
          <w:szCs w:val="20"/>
        </w:rPr>
        <w:t>es</w:t>
      </w:r>
      <w:proofErr w:type="spellEnd"/>
      <w:r w:rsidR="00D35E70">
        <w:rPr>
          <w:rFonts w:ascii="Times New Roman" w:hAnsi="Times New Roman" w:cs="Times New Roman"/>
          <w:sz w:val="20"/>
          <w:szCs w:val="20"/>
        </w:rPr>
        <w:t>)</w:t>
      </w:r>
      <w:r w:rsidRPr="0016622E">
        <w:rPr>
          <w:rFonts w:ascii="Times New Roman" w:hAnsi="Times New Roman" w:cs="Times New Roman"/>
          <w:sz w:val="20"/>
          <w:szCs w:val="20"/>
        </w:rPr>
        <w:t>, the RBIS are:</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E52DA5" w:rsidRPr="00E52DA5"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b/>
          <w:bCs/>
          <w:sz w:val="20"/>
          <w:szCs w:val="20"/>
        </w:rPr>
        <w:t xml:space="preserve">1. </w:t>
      </w:r>
      <w:r w:rsidR="00E52DA5">
        <w:rPr>
          <w:rFonts w:ascii="Times New Roman" w:hAnsi="Times New Roman" w:cs="Times New Roman"/>
          <w:b/>
          <w:sz w:val="20"/>
          <w:szCs w:val="20"/>
        </w:rPr>
        <w:t xml:space="preserve"> </w:t>
      </w:r>
      <w:r w:rsidR="00E52DA5" w:rsidRPr="0016622E">
        <w:rPr>
          <w:rFonts w:ascii="Times New Roman" w:hAnsi="Times New Roman" w:cs="Times New Roman"/>
          <w:b/>
          <w:bCs/>
          <w:sz w:val="20"/>
          <w:szCs w:val="20"/>
        </w:rPr>
        <w:t>Vocabulary</w:t>
      </w:r>
      <w:r w:rsidR="00E52DA5" w:rsidRPr="0016622E">
        <w:rPr>
          <w:rFonts w:ascii="Times New Roman" w:hAnsi="Times New Roman" w:cs="Times New Roman"/>
          <w:sz w:val="20"/>
          <w:szCs w:val="20"/>
        </w:rPr>
        <w:t>. Research indicates that student achievement will increase by 12</w:t>
      </w:r>
      <w:r w:rsidR="00E52DA5">
        <w:rPr>
          <w:rFonts w:ascii="Times New Roman" w:hAnsi="Times New Roman" w:cs="Times New Roman"/>
          <w:sz w:val="20"/>
          <w:szCs w:val="20"/>
        </w:rPr>
        <w:t xml:space="preserve"> </w:t>
      </w:r>
      <w:r w:rsidR="00E52DA5" w:rsidRPr="0016622E">
        <w:rPr>
          <w:rFonts w:ascii="Times New Roman" w:hAnsi="Times New Roman" w:cs="Times New Roman"/>
          <w:sz w:val="20"/>
          <w:szCs w:val="20"/>
        </w:rPr>
        <w:t>percentile points when students are taught 10-12 words a week; 33 percentile</w:t>
      </w:r>
      <w:r w:rsidR="00E52DA5">
        <w:rPr>
          <w:rFonts w:ascii="Times New Roman" w:hAnsi="Times New Roman" w:cs="Times New Roman"/>
          <w:sz w:val="20"/>
          <w:szCs w:val="20"/>
        </w:rPr>
        <w:t xml:space="preserve"> </w:t>
      </w:r>
      <w:r w:rsidR="00E52DA5" w:rsidRPr="0016622E">
        <w:rPr>
          <w:rFonts w:ascii="Times New Roman" w:hAnsi="Times New Roman" w:cs="Times New Roman"/>
          <w:sz w:val="20"/>
          <w:szCs w:val="20"/>
        </w:rPr>
        <w:t>points when vocabulary is focused on specific words important to what students</w:t>
      </w:r>
      <w:r w:rsidR="00E52DA5">
        <w:rPr>
          <w:rFonts w:ascii="Times New Roman" w:hAnsi="Times New Roman" w:cs="Times New Roman"/>
          <w:sz w:val="20"/>
          <w:szCs w:val="20"/>
        </w:rPr>
        <w:t xml:space="preserve"> </w:t>
      </w:r>
      <w:r w:rsidR="00E52DA5" w:rsidRPr="0016622E">
        <w:rPr>
          <w:rFonts w:ascii="Times New Roman" w:hAnsi="Times New Roman" w:cs="Times New Roman"/>
          <w:sz w:val="20"/>
          <w:szCs w:val="20"/>
        </w:rPr>
        <w:t>are learning. Requires specific approaches. (Effect size=0.95 or 32 percentile</w:t>
      </w:r>
      <w:r w:rsidR="00E52DA5">
        <w:rPr>
          <w:rFonts w:ascii="Times New Roman" w:hAnsi="Times New Roman" w:cs="Times New Roman"/>
          <w:sz w:val="20"/>
          <w:szCs w:val="20"/>
        </w:rPr>
        <w:t xml:space="preserve"> </w:t>
      </w:r>
      <w:r w:rsidR="00E52DA5" w:rsidRPr="0016622E">
        <w:rPr>
          <w:rFonts w:ascii="Times New Roman" w:hAnsi="Times New Roman" w:cs="Times New Roman"/>
          <w:sz w:val="20"/>
          <w:szCs w:val="20"/>
        </w:rPr>
        <w:t>points)</w:t>
      </w:r>
    </w:p>
    <w:p w:rsidR="00E52DA5" w:rsidRDefault="00E52DA5" w:rsidP="0016622E">
      <w:pPr>
        <w:autoSpaceDE w:val="0"/>
        <w:autoSpaceDN w:val="0"/>
        <w:adjustRightInd w:val="0"/>
        <w:spacing w:after="0" w:line="240" w:lineRule="auto"/>
        <w:rPr>
          <w:rFonts w:ascii="Times New Roman" w:hAnsi="Times New Roman" w:cs="Times New Roman"/>
          <w:b/>
          <w:bCs/>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2.  </w:t>
      </w:r>
      <w:r w:rsidR="0016622E" w:rsidRPr="0016622E">
        <w:rPr>
          <w:rFonts w:ascii="Times New Roman" w:hAnsi="Times New Roman" w:cs="Times New Roman"/>
          <w:b/>
          <w:bCs/>
          <w:sz w:val="20"/>
          <w:szCs w:val="20"/>
        </w:rPr>
        <w:t>IDENTIFYING SIMILARITIES &amp; DIFFERENCES (pp. 13-28)</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The ability to break a concept into its similar and dissimilar characteristics allows students to understand (and often solve) complex problems by analyzing them in a more simple way. Researchers have found these mental operations to be basic to human thought. Indeed, they might be considered the “core” of all learning. Four ways to identify similarities and differences are (1) comparing, (2) classifying, (3) creating metaphors, and (4) creating analogies.</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3</w:t>
      </w:r>
      <w:r w:rsidR="0016622E" w:rsidRPr="0016622E">
        <w:rPr>
          <w:rFonts w:ascii="Times New Roman" w:hAnsi="Times New Roman" w:cs="Times New Roman"/>
          <w:b/>
          <w:bCs/>
          <w:sz w:val="20"/>
          <w:szCs w:val="20"/>
        </w:rPr>
        <w:t>. SUMMARIZING &amp; NOTE TAKING (pp. 29-48)</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These skills promote greater comprehension by asking students to analyze a subject to expose what’s essential and then put it in their own words. According to research, this requires (1) substituting, (2) deleting, (3) keeping some things, and (4) having an awareness of the basic structure of the information presented.  Research shows that taking more notes is better than fewer notes, though verbatim note taking is ineffective because it does not allow time to process the information. Teachers should encourage and give time for review and revision of notes. Notes can be the best study guides for tests.</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4</w:t>
      </w:r>
      <w:r w:rsidR="0016622E" w:rsidRPr="0016622E">
        <w:rPr>
          <w:rFonts w:ascii="Times New Roman" w:hAnsi="Times New Roman" w:cs="Times New Roman"/>
          <w:b/>
          <w:bCs/>
          <w:sz w:val="20"/>
          <w:szCs w:val="20"/>
        </w:rPr>
        <w:t>. REINFORCING EFFORT &amp; PROVIDING RECOGNITION (pp. 49-59)</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Effort and recognition speak to the attitudes and beliefs of students, and teachers must show the connection between effort and achievement. Research shows that although not all students realize the importance of effort, they can learn to change their beliefs to emphasize effort. According to research, recognition is most effective if it is contingent on the achievement of a certain standard. Also, symbolic recognition works better than tangible rewards.</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5</w:t>
      </w:r>
      <w:r w:rsidR="0016622E" w:rsidRPr="0016622E">
        <w:rPr>
          <w:rFonts w:ascii="Times New Roman" w:hAnsi="Times New Roman" w:cs="Times New Roman"/>
          <w:b/>
          <w:bCs/>
          <w:sz w:val="20"/>
          <w:szCs w:val="20"/>
        </w:rPr>
        <w:t>. HOMEWORK &amp; PRACTICE (pp. 60-71)</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Homework provides students with the opportunity to extend their learning outside the classroom. However, research shows that the amount of homework assigned should vary by grade level and that parent involvement should be minimal. Teachers should explain the purpose of homework to both the student and the parent or guardian, and teachers should try to give feedback on all homework assigned. Research shows</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that students should adapt skills while they’re learning them. Speed and accuracy are key indicators of the effectiveness of practice.</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6</w:t>
      </w:r>
      <w:r w:rsidR="0016622E" w:rsidRPr="0016622E">
        <w:rPr>
          <w:rFonts w:ascii="Times New Roman" w:hAnsi="Times New Roman" w:cs="Times New Roman"/>
          <w:b/>
          <w:bCs/>
          <w:sz w:val="20"/>
          <w:szCs w:val="20"/>
        </w:rPr>
        <w:t>. NONLINGUISTIC REPRESENTATIONS (pp. 72-83)</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According to research, knowledge is stored in two forms: linguistic and visual (nonlinguistic). The more students use both forms in the classroom, the more opportunity they have to achieve. Recently, use of nonlinguistic representations has proven to not only stimulate but also to increase brain activity.</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7</w:t>
      </w:r>
      <w:r w:rsidR="0016622E" w:rsidRPr="0016622E">
        <w:rPr>
          <w:rFonts w:ascii="Times New Roman" w:hAnsi="Times New Roman" w:cs="Times New Roman"/>
          <w:b/>
          <w:bCs/>
          <w:sz w:val="20"/>
          <w:szCs w:val="20"/>
        </w:rPr>
        <w:t>. COOPERATIVE LEARNING (pp. 84-91)</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 xml:space="preserve">Research shows that organizing students into cooperative groups yields a positive effect on overall learning. When applying cooperative learning strategies, keep groups small and don’t overuse this strategy—be systematic and consistent in your approach. According to the research, cooperative learning is defined as possessing (1) positive interdependence, i.e., a sense of sink or swim together, (2) face-to-face </w:t>
      </w:r>
      <w:proofErr w:type="spellStart"/>
      <w:r w:rsidRPr="0016622E">
        <w:rPr>
          <w:rFonts w:ascii="Times New Roman" w:hAnsi="Times New Roman" w:cs="Times New Roman"/>
          <w:sz w:val="20"/>
          <w:szCs w:val="20"/>
        </w:rPr>
        <w:t>promotive</w:t>
      </w:r>
      <w:proofErr w:type="spellEnd"/>
      <w:r w:rsidRPr="0016622E">
        <w:rPr>
          <w:rFonts w:ascii="Times New Roman" w:hAnsi="Times New Roman" w:cs="Times New Roman"/>
          <w:sz w:val="20"/>
          <w:szCs w:val="20"/>
        </w:rPr>
        <w:t xml:space="preserve"> interaction, i.e., helping each other learn, applauding success and efforts, (3) individual and group accountability, i.e., each of us has to contribute to the group achieving its goal, (4) interpersonal and small group skills, i.e., communication, trust, leadership, decision making, and conflict resolution, and (5) group</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processing, i.e., reflecting on how well the team is functioning and how to function even better.</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8</w:t>
      </w:r>
      <w:r w:rsidR="0016622E" w:rsidRPr="0016622E">
        <w:rPr>
          <w:rFonts w:ascii="Times New Roman" w:hAnsi="Times New Roman" w:cs="Times New Roman"/>
          <w:b/>
          <w:bCs/>
          <w:sz w:val="20"/>
          <w:szCs w:val="20"/>
        </w:rPr>
        <w:t>. Setting Objectives &amp; Providing Feedback (pp. 92-102)</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Setting objectives can provide students with a direction for their learning. Goals should not be too specific; they should be easily adaptable to students’ own objectives. Research shows that feedback generally produces positive results. Teachers can never give too much; however, they should manage the form that feedback takes.</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lastRenderedPageBreak/>
        <w:t>9</w:t>
      </w:r>
      <w:r w:rsidR="0016622E" w:rsidRPr="0016622E">
        <w:rPr>
          <w:rFonts w:ascii="Times New Roman" w:hAnsi="Times New Roman" w:cs="Times New Roman"/>
          <w:b/>
          <w:bCs/>
          <w:sz w:val="20"/>
          <w:szCs w:val="20"/>
        </w:rPr>
        <w:t>. Generating &amp; Testing Hypotheses (pp. 103-110)</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Research shows that a deductive approach (using a general rule to make a prediction) to this strategy works best. Whether a hypothesis is induced or deduced, students should clearly explain their hypotheses and conclusions. We commonly think of generating and testing hypotheses as the purview of the science teacher only. However, this strategy applies to a variety of tasks that are applicable to many subject areas.</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p>
    <w:p w:rsidR="0016622E" w:rsidRPr="0016622E" w:rsidRDefault="00E52DA5" w:rsidP="0016622E">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10</w:t>
      </w:r>
      <w:r w:rsidR="0016622E" w:rsidRPr="0016622E">
        <w:rPr>
          <w:rFonts w:ascii="Times New Roman" w:hAnsi="Times New Roman" w:cs="Times New Roman"/>
          <w:b/>
          <w:bCs/>
          <w:sz w:val="20"/>
          <w:szCs w:val="20"/>
        </w:rPr>
        <w:t>. Using Cues, Questions, &amp; Advance Organizers (pp. 111-120)</w:t>
      </w:r>
    </w:p>
    <w:p w:rsidR="0016622E" w:rsidRPr="0016622E" w:rsidRDefault="0016622E" w:rsidP="0016622E">
      <w:pPr>
        <w:autoSpaceDE w:val="0"/>
        <w:autoSpaceDN w:val="0"/>
        <w:adjustRightInd w:val="0"/>
        <w:spacing w:after="0" w:line="240" w:lineRule="auto"/>
        <w:rPr>
          <w:rFonts w:ascii="Times New Roman" w:hAnsi="Times New Roman" w:cs="Times New Roman"/>
          <w:sz w:val="20"/>
          <w:szCs w:val="20"/>
        </w:rPr>
      </w:pPr>
      <w:r w:rsidRPr="0016622E">
        <w:rPr>
          <w:rFonts w:ascii="Times New Roman" w:hAnsi="Times New Roman" w:cs="Times New Roman"/>
          <w:sz w:val="20"/>
          <w:szCs w:val="20"/>
        </w:rPr>
        <w:t>Cues, questions, and advance organizers help students use what they already know about a topic to enhance further learning. Research shows that these tools should be highly analytical, should focus on what is important, and are most effective when presented before a learning experience.</w:t>
      </w:r>
    </w:p>
    <w:p w:rsidR="00EB7AF0" w:rsidRDefault="00EB7AF0" w:rsidP="00EB7AF0">
      <w:pPr>
        <w:autoSpaceDE w:val="0"/>
        <w:autoSpaceDN w:val="0"/>
        <w:adjustRightInd w:val="0"/>
        <w:spacing w:after="0" w:line="240" w:lineRule="auto"/>
        <w:rPr>
          <w:rFonts w:ascii="ComicSansMS" w:hAnsi="ComicSansMS" w:cs="ComicSansMS"/>
          <w:sz w:val="20"/>
          <w:szCs w:val="20"/>
        </w:rPr>
      </w:pPr>
    </w:p>
    <w:p w:rsidR="00F277E5" w:rsidRPr="00F277E5" w:rsidRDefault="00215F8B" w:rsidP="007B1A09">
      <w:pPr>
        <w:spacing w:after="0" w:line="240" w:lineRule="auto"/>
        <w:outlineLvl w:val="1"/>
        <w:rPr>
          <w:rFonts w:ascii="Times New Roman" w:eastAsia="Times New Roman" w:hAnsi="Times New Roman" w:cs="Times New Roman"/>
          <w:b/>
          <w:bCs/>
          <w:sz w:val="20"/>
          <w:szCs w:val="20"/>
        </w:rPr>
      </w:pPr>
      <w:hyperlink r:id="rId4" w:history="1">
        <w:r w:rsidR="00F277E5" w:rsidRPr="00F277E5">
          <w:rPr>
            <w:rFonts w:ascii="Times New Roman" w:eastAsia="Times New Roman" w:hAnsi="Times New Roman" w:cs="Times New Roman"/>
            <w:b/>
            <w:bCs/>
            <w:sz w:val="20"/>
            <w:szCs w:val="20"/>
            <w:u w:val="single"/>
          </w:rPr>
          <w:t>Thematic Instruction</w:t>
        </w:r>
      </w:hyperlink>
    </w:p>
    <w:p w:rsidR="00F277E5" w:rsidRDefault="00F277E5" w:rsidP="007B1A09">
      <w:pPr>
        <w:spacing w:after="0" w:line="240" w:lineRule="auto"/>
        <w:rPr>
          <w:rFonts w:ascii="Times New Roman" w:eastAsia="Times New Roman" w:hAnsi="Times New Roman" w:cs="Times New Roman"/>
          <w:sz w:val="20"/>
          <w:szCs w:val="20"/>
        </w:rPr>
      </w:pPr>
      <w:r w:rsidRPr="00F277E5">
        <w:rPr>
          <w:rFonts w:ascii="Times New Roman" w:eastAsia="Times New Roman" w:hAnsi="Times New Roman" w:cs="Times New Roman"/>
          <w:sz w:val="20"/>
          <w:szCs w:val="20"/>
        </w:rPr>
        <w:t xml:space="preserve">Students learn better from thematic, interdisciplinary instruction -- themes are a way of understanding new concepts and provide mental organizing schemes. </w:t>
      </w:r>
    </w:p>
    <w:p w:rsidR="007B1A09" w:rsidRPr="00F277E5" w:rsidRDefault="007B1A09" w:rsidP="007B1A09">
      <w:pPr>
        <w:spacing w:after="0" w:line="240" w:lineRule="auto"/>
        <w:rPr>
          <w:rFonts w:ascii="Times New Roman" w:eastAsia="Times New Roman" w:hAnsi="Times New Roman" w:cs="Times New Roman"/>
          <w:sz w:val="20"/>
          <w:szCs w:val="20"/>
        </w:rPr>
      </w:pPr>
    </w:p>
    <w:p w:rsidR="007B1A09" w:rsidRDefault="00215F8B" w:rsidP="007B1A09">
      <w:pPr>
        <w:spacing w:after="0" w:line="240" w:lineRule="auto"/>
        <w:outlineLvl w:val="1"/>
        <w:rPr>
          <w:rFonts w:ascii="Times New Roman" w:eastAsia="Times New Roman" w:hAnsi="Times New Roman" w:cs="Times New Roman"/>
          <w:b/>
          <w:bCs/>
          <w:sz w:val="20"/>
          <w:szCs w:val="20"/>
        </w:rPr>
      </w:pPr>
      <w:hyperlink r:id="rId5" w:history="1">
        <w:r w:rsidR="00F277E5" w:rsidRPr="00F277E5">
          <w:rPr>
            <w:rFonts w:ascii="Times New Roman" w:eastAsia="Times New Roman" w:hAnsi="Times New Roman" w:cs="Times New Roman"/>
            <w:b/>
            <w:bCs/>
            <w:sz w:val="20"/>
            <w:szCs w:val="20"/>
            <w:u w:val="single"/>
          </w:rPr>
          <w:t>Simulations and Games</w:t>
        </w:r>
      </w:hyperlink>
    </w:p>
    <w:p w:rsidR="00EB7AF0" w:rsidRDefault="00F277E5" w:rsidP="007B1A09">
      <w:pPr>
        <w:spacing w:after="0" w:line="240" w:lineRule="auto"/>
        <w:outlineLvl w:val="1"/>
        <w:rPr>
          <w:rFonts w:ascii="Times New Roman" w:eastAsia="Times New Roman" w:hAnsi="Times New Roman" w:cs="Times New Roman"/>
          <w:sz w:val="20"/>
          <w:szCs w:val="20"/>
        </w:rPr>
      </w:pPr>
      <w:r w:rsidRPr="00F277E5">
        <w:rPr>
          <w:rFonts w:ascii="Times New Roman" w:eastAsia="Times New Roman" w:hAnsi="Times New Roman" w:cs="Times New Roman"/>
          <w:sz w:val="20"/>
          <w:szCs w:val="20"/>
        </w:rPr>
        <w:t>Simulation offer unique opportunities to enhance learning and allow students to test knowledge, gain experience, and practice skills</w:t>
      </w:r>
    </w:p>
    <w:p w:rsidR="007B1A09" w:rsidRPr="007B1A09" w:rsidRDefault="007B1A09" w:rsidP="007B1A09">
      <w:pPr>
        <w:spacing w:after="0" w:line="240" w:lineRule="auto"/>
        <w:outlineLvl w:val="1"/>
        <w:rPr>
          <w:rFonts w:ascii="Times New Roman" w:eastAsia="Times New Roman" w:hAnsi="Times New Roman" w:cs="Times New Roman"/>
          <w:b/>
          <w:bCs/>
          <w:sz w:val="20"/>
          <w:szCs w:val="20"/>
        </w:rPr>
      </w:pPr>
    </w:p>
    <w:p w:rsidR="00E807BF" w:rsidRDefault="00E807BF" w:rsidP="007B1A09">
      <w:pPr>
        <w:spacing w:after="0"/>
        <w:rPr>
          <w:rFonts w:ascii="ComicSansMS" w:hAnsi="ComicSansMS" w:cs="ComicSansMS"/>
          <w:b/>
          <w:sz w:val="20"/>
          <w:szCs w:val="20"/>
          <w:u w:val="single"/>
        </w:rPr>
        <w:sectPr w:rsidR="00E807BF" w:rsidSect="00E807BF">
          <w:pgSz w:w="12240" w:h="15840"/>
          <w:pgMar w:top="720" w:right="720" w:bottom="720" w:left="720" w:header="720" w:footer="720" w:gutter="0"/>
          <w:cols w:space="720"/>
          <w:docGrid w:linePitch="360"/>
        </w:sectPr>
      </w:pPr>
    </w:p>
    <w:p w:rsidR="00EB7AF0" w:rsidRPr="00F277E5" w:rsidRDefault="00EB7AF0" w:rsidP="007B1A09">
      <w:pPr>
        <w:spacing w:after="0"/>
        <w:rPr>
          <w:rFonts w:ascii="ComicSansMS" w:hAnsi="ComicSansMS" w:cs="ComicSansMS"/>
          <w:b/>
          <w:sz w:val="20"/>
          <w:szCs w:val="20"/>
          <w:u w:val="single"/>
        </w:rPr>
      </w:pPr>
      <w:r w:rsidRPr="00F277E5">
        <w:rPr>
          <w:rFonts w:ascii="ComicSansMS" w:hAnsi="ComicSansMS" w:cs="ComicSansMS"/>
          <w:b/>
          <w:sz w:val="20"/>
          <w:szCs w:val="20"/>
          <w:u w:val="single"/>
        </w:rPr>
        <w:lastRenderedPageBreak/>
        <w:t>Thoughtful Ed</w:t>
      </w:r>
    </w:p>
    <w:p w:rsidR="00EB7AF0" w:rsidRDefault="00EB7AF0" w:rsidP="007B1A09">
      <w:pPr>
        <w:spacing w:after="0" w:line="240" w:lineRule="auto"/>
        <w:rPr>
          <w:rFonts w:ascii="ComicSansMS" w:hAnsi="ComicSansMS" w:cs="ComicSansMS"/>
          <w:sz w:val="20"/>
          <w:szCs w:val="20"/>
        </w:rPr>
      </w:pPr>
      <w:r>
        <w:rPr>
          <w:rFonts w:ascii="ComicSansMS" w:hAnsi="ComicSansMS" w:cs="ComicSansMS"/>
          <w:sz w:val="20"/>
          <w:szCs w:val="20"/>
        </w:rPr>
        <w:t>Think, Pair, Share</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Give One, Get One</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Divergent Thinking</w:t>
      </w:r>
    </w:p>
    <w:p w:rsidR="00EB7AF0" w:rsidRDefault="00EB7AF0" w:rsidP="00F277E5">
      <w:pPr>
        <w:spacing w:after="0" w:line="240" w:lineRule="auto"/>
        <w:rPr>
          <w:rFonts w:ascii="ComicSansMS" w:hAnsi="ComicSansMS" w:cs="ComicSansMS"/>
          <w:sz w:val="20"/>
          <w:szCs w:val="20"/>
        </w:rPr>
      </w:pPr>
      <w:proofErr w:type="spellStart"/>
      <w:r>
        <w:rPr>
          <w:rFonts w:ascii="ComicSansMS" w:hAnsi="ComicSansMS" w:cs="ComicSansMS"/>
          <w:sz w:val="20"/>
          <w:szCs w:val="20"/>
        </w:rPr>
        <w:t>Factstorming</w:t>
      </w:r>
      <w:proofErr w:type="spellEnd"/>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Graffiti</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Carousel Brainstorming</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Context Connections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Associations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K-W-L</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Four Thought</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Think of a Time</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Hooks and Bridges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Anticipation Guides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Word Banks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Sketch-to-Sketch</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Mind’s Eye</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Priority Pyramid</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Rank Order Ladder</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Decision-Making Matrix</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Physical Barometer</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New American Notebook</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Mapping</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Etch-A-Sketch</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Power Notes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Math Notes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 xml:space="preserve">Concept </w:t>
      </w:r>
      <w:proofErr w:type="spellStart"/>
      <w:r>
        <w:rPr>
          <w:rFonts w:ascii="ComicSansMS" w:hAnsi="ComicSansMS" w:cs="ComicSansMS"/>
          <w:sz w:val="20"/>
          <w:szCs w:val="20"/>
        </w:rPr>
        <w:t>Notemaker</w:t>
      </w:r>
      <w:proofErr w:type="spellEnd"/>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Learning Logs</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Kindling</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Building Writing</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Collaborative Summarizing</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 xml:space="preserve">4-2-1 </w:t>
      </w:r>
      <w:proofErr w:type="spellStart"/>
      <w:r>
        <w:rPr>
          <w:rFonts w:ascii="ComicSansMS" w:hAnsi="ComicSansMS" w:cs="ComicSansMS"/>
          <w:sz w:val="20"/>
          <w:szCs w:val="20"/>
        </w:rPr>
        <w:t>Freewrite</w:t>
      </w:r>
      <w:proofErr w:type="spellEnd"/>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Writer’s Club</w:t>
      </w:r>
    </w:p>
    <w:p w:rsidR="00EB7AF0" w:rsidRDefault="00EB7AF0" w:rsidP="00F277E5">
      <w:pPr>
        <w:spacing w:after="0" w:line="240" w:lineRule="auto"/>
        <w:rPr>
          <w:rFonts w:ascii="ComicSansMS" w:hAnsi="ComicSansMS" w:cs="ComicSansMS"/>
          <w:sz w:val="20"/>
          <w:szCs w:val="20"/>
        </w:rPr>
      </w:pPr>
      <w:r>
        <w:rPr>
          <w:rFonts w:ascii="ComicSansMS" w:hAnsi="ComicSansMS" w:cs="ComicSansMS"/>
          <w:sz w:val="20"/>
          <w:szCs w:val="20"/>
        </w:rPr>
        <w:t>Visualizing Vocabulary</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Deep Processing</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Vocabulary Notebook</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Tools for Mastering and Deepening Vocabulary</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Tools for Practicing Vocabulary</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Memory Frameworks</w:t>
      </w:r>
    </w:p>
    <w:p w:rsidR="00E807BF" w:rsidRDefault="00F277E5" w:rsidP="00F277E5">
      <w:pPr>
        <w:spacing w:after="0" w:line="240" w:lineRule="auto"/>
        <w:rPr>
          <w:rFonts w:ascii="ComicSansMS" w:hAnsi="ComicSansMS" w:cs="ComicSansMS"/>
          <w:sz w:val="20"/>
          <w:szCs w:val="20"/>
        </w:rPr>
      </w:pPr>
      <w:r>
        <w:rPr>
          <w:rFonts w:ascii="ComicSansMS" w:hAnsi="ComicSansMS" w:cs="ComicSansMS"/>
          <w:sz w:val="20"/>
          <w:szCs w:val="20"/>
        </w:rPr>
        <w:t>Mnemonics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1.2.3.4</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Reflective Writing</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Reflective Statements</w:t>
      </w:r>
    </w:p>
    <w:p w:rsidR="00A35F59" w:rsidRDefault="00A35F59" w:rsidP="00F277E5">
      <w:pPr>
        <w:spacing w:after="0" w:line="240" w:lineRule="auto"/>
        <w:rPr>
          <w:rFonts w:ascii="ComicSansMS" w:hAnsi="ComicSansMS" w:cs="ComicSansMS"/>
          <w:sz w:val="20"/>
          <w:szCs w:val="20"/>
        </w:rPr>
      </w:pP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Reflecting in Style</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Questing</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Q-Space</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Response Techniques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What’s my Question</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Questions in Style</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Think-Aloud</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Four-Phase Practice</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Boggle</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Panel Discussion</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Categories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3-2-1</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Mastery Review</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Outburst</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Poster Session</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Group-to-Group teaching</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Graphic Organizers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Gallery Walk</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Explaining solutions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Surveying</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Jeopardy</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What? So What? Now What?</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Feedback Tools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Comprehension Menus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Rubrics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The C-List</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Student-Generated Assessment Criteria</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Test Feedback</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Cooperative Structures for Promoting Positive Interdependence</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Learning Partners</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Team-O-Graph</w:t>
      </w:r>
    </w:p>
    <w:p w:rsidR="00F277E5" w:rsidRDefault="00F277E5" w:rsidP="00F277E5">
      <w:pPr>
        <w:spacing w:after="0" w:line="240" w:lineRule="auto"/>
        <w:rPr>
          <w:rFonts w:ascii="ComicSansMS" w:hAnsi="ComicSansMS" w:cs="ComicSansMS"/>
          <w:sz w:val="20"/>
          <w:szCs w:val="20"/>
        </w:rPr>
      </w:pPr>
      <w:r>
        <w:rPr>
          <w:rFonts w:ascii="ComicSansMS" w:hAnsi="ComicSansMS" w:cs="ComicSansMS"/>
          <w:sz w:val="20"/>
          <w:szCs w:val="20"/>
        </w:rPr>
        <w:t>Energizers</w:t>
      </w:r>
    </w:p>
    <w:p w:rsidR="00EB7AF0" w:rsidRDefault="00EB7AF0"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F277E5">
      <w:pPr>
        <w:spacing w:after="0"/>
        <w:rPr>
          <w:rFonts w:ascii="ComicSansMS" w:hAnsi="ComicSansMS" w:cs="ComicSansMS"/>
          <w:sz w:val="20"/>
          <w:szCs w:val="20"/>
        </w:rPr>
      </w:pPr>
    </w:p>
    <w:p w:rsidR="00A35F59" w:rsidRDefault="00A35F59" w:rsidP="00A35F59">
      <w:pPr>
        <w:pStyle w:val="Default"/>
      </w:pPr>
    </w:p>
    <w:p w:rsidR="00A35F59" w:rsidRDefault="00A35F59">
      <w:pPr>
        <w:pStyle w:val="Default"/>
        <w:spacing w:before="100" w:after="100"/>
        <w:rPr>
          <w:sz w:val="20"/>
          <w:szCs w:val="20"/>
        </w:rPr>
        <w:sectPr w:rsidR="00A35F59" w:rsidSect="00E807BF">
          <w:type w:val="continuous"/>
          <w:pgSz w:w="12240" w:h="15840"/>
          <w:pgMar w:top="720" w:right="720" w:bottom="720" w:left="720" w:header="720" w:footer="720" w:gutter="0"/>
          <w:cols w:num="3" w:space="720"/>
          <w:docGrid w:linePitch="360"/>
        </w:sectPr>
      </w:pPr>
    </w:p>
    <w:tbl>
      <w:tblPr>
        <w:tblW w:w="0" w:type="auto"/>
        <w:tblBorders>
          <w:top w:val="nil"/>
          <w:left w:val="nil"/>
          <w:bottom w:val="nil"/>
          <w:right w:val="nil"/>
        </w:tblBorders>
        <w:tblLayout w:type="fixed"/>
        <w:tblLook w:val="0000"/>
      </w:tblPr>
      <w:tblGrid>
        <w:gridCol w:w="2935"/>
        <w:gridCol w:w="2935"/>
        <w:gridCol w:w="2935"/>
        <w:gridCol w:w="2936"/>
      </w:tblGrid>
      <w:tr w:rsidR="00A35F59">
        <w:trPr>
          <w:trHeight w:val="1366"/>
        </w:trPr>
        <w:tc>
          <w:tcPr>
            <w:tcW w:w="2935" w:type="dxa"/>
          </w:tcPr>
          <w:p w:rsidR="00A35F59" w:rsidRDefault="00A35F59" w:rsidP="00A96BE3">
            <w:pPr>
              <w:pStyle w:val="Default"/>
              <w:spacing w:before="100" w:after="100"/>
              <w:rPr>
                <w:b/>
                <w:bCs/>
                <w:sz w:val="28"/>
                <w:szCs w:val="28"/>
              </w:rPr>
            </w:pPr>
            <w:r>
              <w:rPr>
                <w:b/>
                <w:bCs/>
                <w:sz w:val="28"/>
                <w:szCs w:val="28"/>
              </w:rPr>
              <w:lastRenderedPageBreak/>
              <w:t>Differentiated Instruction</w:t>
            </w:r>
          </w:p>
          <w:p w:rsidR="00A35F59" w:rsidRDefault="00A35F59" w:rsidP="00A96BE3">
            <w:pPr>
              <w:pStyle w:val="Default"/>
              <w:spacing w:before="100" w:after="100"/>
              <w:rPr>
                <w:sz w:val="20"/>
                <w:szCs w:val="20"/>
              </w:rPr>
            </w:pPr>
            <w:r>
              <w:rPr>
                <w:sz w:val="20"/>
                <w:szCs w:val="20"/>
              </w:rPr>
              <w:t>Something for All Learners</w:t>
            </w:r>
          </w:p>
          <w:p w:rsidR="00A35F59" w:rsidRDefault="00A35F59" w:rsidP="00A96BE3">
            <w:pPr>
              <w:pStyle w:val="Default"/>
              <w:spacing w:before="100" w:after="100"/>
              <w:rPr>
                <w:sz w:val="20"/>
                <w:szCs w:val="20"/>
              </w:rPr>
            </w:pPr>
            <w:r>
              <w:rPr>
                <w:sz w:val="20"/>
                <w:szCs w:val="20"/>
              </w:rPr>
              <w:t>Vary Delivery Styles</w:t>
            </w:r>
          </w:p>
          <w:p w:rsidR="00A35F59" w:rsidRDefault="00A35F59" w:rsidP="00A96BE3">
            <w:pPr>
              <w:pStyle w:val="Default"/>
              <w:spacing w:before="100" w:after="100"/>
              <w:rPr>
                <w:sz w:val="20"/>
                <w:szCs w:val="20"/>
              </w:rPr>
            </w:pPr>
            <w:r>
              <w:rPr>
                <w:sz w:val="20"/>
                <w:szCs w:val="20"/>
              </w:rPr>
              <w:t>Support Learning Styles</w:t>
            </w:r>
          </w:p>
        </w:tc>
        <w:tc>
          <w:tcPr>
            <w:tcW w:w="2935" w:type="dxa"/>
          </w:tcPr>
          <w:p w:rsidR="00A35F59" w:rsidRDefault="00A35F59">
            <w:pPr>
              <w:pStyle w:val="Default"/>
              <w:spacing w:before="100" w:after="100"/>
              <w:rPr>
                <w:sz w:val="28"/>
                <w:szCs w:val="28"/>
              </w:rPr>
            </w:pPr>
            <w:r>
              <w:rPr>
                <w:b/>
                <w:bCs/>
                <w:sz w:val="28"/>
                <w:szCs w:val="28"/>
              </w:rPr>
              <w:t xml:space="preserve">Literacy First </w:t>
            </w:r>
          </w:p>
          <w:p w:rsidR="00A35F59" w:rsidRDefault="00A35F59">
            <w:pPr>
              <w:pStyle w:val="Default"/>
              <w:spacing w:before="100" w:after="100"/>
              <w:rPr>
                <w:sz w:val="20"/>
                <w:szCs w:val="20"/>
              </w:rPr>
            </w:pPr>
            <w:r>
              <w:rPr>
                <w:sz w:val="20"/>
                <w:szCs w:val="20"/>
              </w:rPr>
              <w:t xml:space="preserve">State Objective </w:t>
            </w:r>
          </w:p>
          <w:p w:rsidR="00A35F59" w:rsidRDefault="00A35F59">
            <w:pPr>
              <w:pStyle w:val="Default"/>
              <w:spacing w:before="100" w:after="100"/>
              <w:rPr>
                <w:sz w:val="20"/>
                <w:szCs w:val="20"/>
              </w:rPr>
            </w:pPr>
            <w:r>
              <w:rPr>
                <w:sz w:val="20"/>
                <w:szCs w:val="20"/>
              </w:rPr>
              <w:t xml:space="preserve">Activate Prior Knowledge </w:t>
            </w:r>
          </w:p>
          <w:p w:rsidR="00A35F59" w:rsidRDefault="00A35F59">
            <w:pPr>
              <w:pStyle w:val="Default"/>
              <w:spacing w:before="100" w:after="100"/>
              <w:rPr>
                <w:sz w:val="20"/>
                <w:szCs w:val="20"/>
              </w:rPr>
            </w:pPr>
            <w:r>
              <w:rPr>
                <w:sz w:val="20"/>
                <w:szCs w:val="20"/>
              </w:rPr>
              <w:t xml:space="preserve">Student Active Participation </w:t>
            </w:r>
          </w:p>
          <w:p w:rsidR="00A35F59" w:rsidRDefault="00A35F59">
            <w:pPr>
              <w:pStyle w:val="Default"/>
              <w:spacing w:before="100" w:after="100"/>
              <w:rPr>
                <w:sz w:val="20"/>
                <w:szCs w:val="20"/>
              </w:rPr>
            </w:pPr>
            <w:r>
              <w:rPr>
                <w:sz w:val="20"/>
                <w:szCs w:val="20"/>
              </w:rPr>
              <w:t xml:space="preserve">Teacher Input </w:t>
            </w:r>
          </w:p>
          <w:p w:rsidR="00A35F59" w:rsidRDefault="00A35F59">
            <w:pPr>
              <w:pStyle w:val="Default"/>
              <w:spacing w:before="100" w:after="100"/>
              <w:rPr>
                <w:sz w:val="20"/>
                <w:szCs w:val="20"/>
              </w:rPr>
            </w:pPr>
            <w:r>
              <w:rPr>
                <w:sz w:val="20"/>
                <w:szCs w:val="20"/>
              </w:rPr>
              <w:t xml:space="preserve">Identify Student Success </w:t>
            </w:r>
          </w:p>
        </w:tc>
        <w:tc>
          <w:tcPr>
            <w:tcW w:w="2935" w:type="dxa"/>
          </w:tcPr>
          <w:p w:rsidR="00A35F59" w:rsidRDefault="00A35F59">
            <w:pPr>
              <w:pStyle w:val="Default"/>
              <w:spacing w:before="100" w:after="100"/>
              <w:rPr>
                <w:sz w:val="28"/>
                <w:szCs w:val="28"/>
              </w:rPr>
            </w:pPr>
            <w:proofErr w:type="spellStart"/>
            <w:r>
              <w:rPr>
                <w:b/>
                <w:bCs/>
                <w:sz w:val="28"/>
                <w:szCs w:val="28"/>
              </w:rPr>
              <w:t>DuFor's</w:t>
            </w:r>
            <w:proofErr w:type="spellEnd"/>
            <w:r>
              <w:rPr>
                <w:b/>
                <w:bCs/>
                <w:sz w:val="28"/>
                <w:szCs w:val="28"/>
              </w:rPr>
              <w:t xml:space="preserve"> "Four" Basics </w:t>
            </w:r>
          </w:p>
          <w:p w:rsidR="00A35F59" w:rsidRDefault="00A35F59">
            <w:pPr>
              <w:pStyle w:val="Default"/>
              <w:spacing w:before="100" w:after="100"/>
              <w:rPr>
                <w:b/>
                <w:bCs/>
                <w:i/>
                <w:iCs/>
                <w:sz w:val="20"/>
                <w:szCs w:val="20"/>
              </w:rPr>
            </w:pPr>
            <w:r>
              <w:rPr>
                <w:b/>
                <w:bCs/>
                <w:i/>
                <w:iCs/>
                <w:sz w:val="20"/>
                <w:szCs w:val="20"/>
              </w:rPr>
              <w:t xml:space="preserve">GREAT FOR PLC's </w:t>
            </w:r>
          </w:p>
          <w:p w:rsidR="00A35F59" w:rsidRDefault="00A35F59">
            <w:pPr>
              <w:pStyle w:val="Default"/>
              <w:spacing w:before="100" w:after="100"/>
              <w:rPr>
                <w:sz w:val="20"/>
                <w:szCs w:val="20"/>
              </w:rPr>
            </w:pPr>
            <w:r>
              <w:rPr>
                <w:sz w:val="20"/>
                <w:szCs w:val="20"/>
              </w:rPr>
              <w:t xml:space="preserve">1) What do we want students to know and be able to do? </w:t>
            </w:r>
          </w:p>
          <w:p w:rsidR="00A35F59" w:rsidRDefault="00A35F59">
            <w:pPr>
              <w:pStyle w:val="Default"/>
              <w:spacing w:before="100" w:after="100"/>
              <w:rPr>
                <w:sz w:val="20"/>
                <w:szCs w:val="20"/>
              </w:rPr>
            </w:pPr>
            <w:r>
              <w:rPr>
                <w:sz w:val="20"/>
                <w:szCs w:val="20"/>
              </w:rPr>
              <w:t xml:space="preserve">2) How do we know they know it? </w:t>
            </w:r>
          </w:p>
          <w:p w:rsidR="00A35F59" w:rsidRDefault="00A35F59">
            <w:pPr>
              <w:pStyle w:val="Default"/>
              <w:spacing w:before="100" w:after="100"/>
              <w:rPr>
                <w:sz w:val="20"/>
                <w:szCs w:val="20"/>
              </w:rPr>
            </w:pPr>
            <w:r>
              <w:rPr>
                <w:sz w:val="20"/>
                <w:szCs w:val="20"/>
              </w:rPr>
              <w:t xml:space="preserve">3) What do we do if they don’t? </w:t>
            </w:r>
          </w:p>
          <w:p w:rsidR="00A35F59" w:rsidRDefault="00A35F59">
            <w:pPr>
              <w:pStyle w:val="Default"/>
              <w:spacing w:before="100" w:after="100"/>
              <w:rPr>
                <w:sz w:val="20"/>
                <w:szCs w:val="20"/>
              </w:rPr>
            </w:pPr>
            <w:r>
              <w:rPr>
                <w:sz w:val="20"/>
                <w:szCs w:val="20"/>
              </w:rPr>
              <w:t xml:space="preserve">4) What do we do if they already know it? </w:t>
            </w:r>
          </w:p>
        </w:tc>
        <w:tc>
          <w:tcPr>
            <w:tcW w:w="2935" w:type="dxa"/>
          </w:tcPr>
          <w:p w:rsidR="00A35F59" w:rsidRDefault="00A35F59">
            <w:pPr>
              <w:pStyle w:val="Default"/>
              <w:spacing w:before="100" w:after="100"/>
              <w:rPr>
                <w:sz w:val="28"/>
                <w:szCs w:val="28"/>
              </w:rPr>
            </w:pPr>
            <w:r>
              <w:rPr>
                <w:b/>
                <w:bCs/>
                <w:sz w:val="28"/>
                <w:szCs w:val="28"/>
              </w:rPr>
              <w:t xml:space="preserve">Ruby Payne's Main Ideas </w:t>
            </w:r>
          </w:p>
          <w:p w:rsidR="00A35F59" w:rsidRDefault="00A35F59">
            <w:pPr>
              <w:pStyle w:val="Default"/>
              <w:spacing w:before="100" w:after="100"/>
              <w:rPr>
                <w:sz w:val="20"/>
                <w:szCs w:val="20"/>
              </w:rPr>
            </w:pPr>
            <w:r>
              <w:rPr>
                <w:sz w:val="16"/>
                <w:szCs w:val="16"/>
              </w:rPr>
              <w:t xml:space="preserve">Give students tools that keep them from : </w:t>
            </w:r>
            <w:r>
              <w:rPr>
                <w:sz w:val="20"/>
                <w:szCs w:val="20"/>
              </w:rPr>
              <w:t xml:space="preserve">"being taken advantage of " </w:t>
            </w:r>
          </w:p>
          <w:p w:rsidR="00A35F59" w:rsidRDefault="00A35F59">
            <w:pPr>
              <w:pStyle w:val="Default"/>
              <w:spacing w:before="100" w:after="100"/>
              <w:rPr>
                <w:sz w:val="20"/>
                <w:szCs w:val="20"/>
              </w:rPr>
            </w:pPr>
            <w:r>
              <w:rPr>
                <w:sz w:val="20"/>
                <w:szCs w:val="20"/>
              </w:rPr>
              <w:t xml:space="preserve">"being cheated" </w:t>
            </w:r>
          </w:p>
          <w:p w:rsidR="00A35F59" w:rsidRDefault="00A35F59">
            <w:pPr>
              <w:pStyle w:val="Default"/>
              <w:spacing w:before="100" w:after="100"/>
              <w:rPr>
                <w:sz w:val="20"/>
                <w:szCs w:val="20"/>
              </w:rPr>
            </w:pPr>
            <w:r>
              <w:rPr>
                <w:sz w:val="20"/>
                <w:szCs w:val="20"/>
              </w:rPr>
              <w:t xml:space="preserve">"being controlled" </w:t>
            </w:r>
          </w:p>
        </w:tc>
      </w:tr>
      <w:tr w:rsidR="00A35F59">
        <w:trPr>
          <w:trHeight w:val="1680"/>
        </w:trPr>
        <w:tc>
          <w:tcPr>
            <w:tcW w:w="2935" w:type="dxa"/>
          </w:tcPr>
          <w:p w:rsidR="00A35F59" w:rsidRDefault="00A35F59">
            <w:pPr>
              <w:pStyle w:val="Default"/>
              <w:spacing w:before="100" w:after="100"/>
              <w:rPr>
                <w:sz w:val="28"/>
                <w:szCs w:val="28"/>
              </w:rPr>
            </w:pPr>
            <w:proofErr w:type="spellStart"/>
            <w:r>
              <w:rPr>
                <w:b/>
                <w:bCs/>
                <w:sz w:val="28"/>
                <w:szCs w:val="28"/>
              </w:rPr>
              <w:t>Kagan's</w:t>
            </w:r>
            <w:proofErr w:type="spellEnd"/>
            <w:r>
              <w:rPr>
                <w:b/>
                <w:bCs/>
                <w:sz w:val="28"/>
                <w:szCs w:val="28"/>
              </w:rPr>
              <w:t xml:space="preserve"> Strategies </w:t>
            </w:r>
          </w:p>
          <w:p w:rsidR="00A35F59" w:rsidRDefault="00A35F59">
            <w:pPr>
              <w:pStyle w:val="Default"/>
              <w:spacing w:before="100" w:after="100"/>
              <w:rPr>
                <w:sz w:val="20"/>
                <w:szCs w:val="20"/>
              </w:rPr>
            </w:pPr>
            <w:r>
              <w:rPr>
                <w:sz w:val="20"/>
                <w:szCs w:val="20"/>
              </w:rPr>
              <w:t xml:space="preserve">1) Positive Interdependence (everybody gain) </w:t>
            </w:r>
          </w:p>
          <w:p w:rsidR="00A35F59" w:rsidRDefault="00A35F59">
            <w:pPr>
              <w:pStyle w:val="Default"/>
              <w:spacing w:before="100" w:after="100"/>
              <w:rPr>
                <w:sz w:val="20"/>
                <w:szCs w:val="20"/>
              </w:rPr>
            </w:pPr>
            <w:r>
              <w:rPr>
                <w:sz w:val="20"/>
                <w:szCs w:val="20"/>
              </w:rPr>
              <w:t xml:space="preserve">2) Individual Accountability (everyone required) </w:t>
            </w:r>
          </w:p>
          <w:p w:rsidR="00A35F59" w:rsidRDefault="00A35F59">
            <w:pPr>
              <w:pStyle w:val="Default"/>
              <w:spacing w:before="100" w:after="100"/>
              <w:rPr>
                <w:sz w:val="20"/>
                <w:szCs w:val="20"/>
              </w:rPr>
            </w:pPr>
            <w:r>
              <w:rPr>
                <w:sz w:val="20"/>
                <w:szCs w:val="20"/>
              </w:rPr>
              <w:t xml:space="preserve">3) Equal Participation (everyone participating) </w:t>
            </w:r>
          </w:p>
          <w:p w:rsidR="00A35F59" w:rsidRDefault="00A35F59">
            <w:pPr>
              <w:pStyle w:val="Default"/>
              <w:spacing w:before="100" w:after="100"/>
              <w:rPr>
                <w:sz w:val="20"/>
                <w:szCs w:val="20"/>
              </w:rPr>
            </w:pPr>
            <w:r>
              <w:rPr>
                <w:sz w:val="20"/>
                <w:szCs w:val="20"/>
              </w:rPr>
              <w:t xml:space="preserve">4)Simultaneous Interaction (everyone at once) </w:t>
            </w:r>
          </w:p>
        </w:tc>
        <w:tc>
          <w:tcPr>
            <w:tcW w:w="2935" w:type="dxa"/>
          </w:tcPr>
          <w:p w:rsidR="00A35F59" w:rsidRDefault="00A35F59">
            <w:pPr>
              <w:pStyle w:val="Default"/>
              <w:spacing w:before="100" w:after="100"/>
              <w:jc w:val="center"/>
              <w:rPr>
                <w:sz w:val="20"/>
                <w:szCs w:val="20"/>
              </w:rPr>
            </w:pPr>
            <w:r>
              <w:rPr>
                <w:b/>
                <w:bCs/>
                <w:sz w:val="28"/>
                <w:szCs w:val="28"/>
              </w:rPr>
              <w:t xml:space="preserve">Multiple Intelligences </w:t>
            </w:r>
            <w:r>
              <w:rPr>
                <w:sz w:val="20"/>
                <w:szCs w:val="20"/>
              </w:rPr>
              <w:t xml:space="preserve">Visual / Spatial </w:t>
            </w:r>
          </w:p>
          <w:p w:rsidR="00A35F59" w:rsidRDefault="00A35F59">
            <w:pPr>
              <w:pStyle w:val="Default"/>
              <w:spacing w:before="100" w:after="100"/>
              <w:jc w:val="center"/>
              <w:rPr>
                <w:sz w:val="20"/>
                <w:szCs w:val="20"/>
              </w:rPr>
            </w:pPr>
            <w:r>
              <w:rPr>
                <w:sz w:val="20"/>
                <w:szCs w:val="20"/>
              </w:rPr>
              <w:t xml:space="preserve">Verbal / Linguistic </w:t>
            </w:r>
          </w:p>
          <w:p w:rsidR="00A35F59" w:rsidRDefault="00A35F59">
            <w:pPr>
              <w:pStyle w:val="Default"/>
              <w:spacing w:before="100" w:after="100"/>
              <w:jc w:val="center"/>
              <w:rPr>
                <w:sz w:val="20"/>
                <w:szCs w:val="20"/>
              </w:rPr>
            </w:pPr>
            <w:r>
              <w:rPr>
                <w:sz w:val="20"/>
                <w:szCs w:val="20"/>
              </w:rPr>
              <w:t xml:space="preserve">Logical / Mathematical </w:t>
            </w:r>
          </w:p>
          <w:p w:rsidR="00A35F59" w:rsidRDefault="00A35F59">
            <w:pPr>
              <w:pStyle w:val="Default"/>
              <w:spacing w:before="100" w:after="100"/>
              <w:jc w:val="center"/>
              <w:rPr>
                <w:sz w:val="20"/>
                <w:szCs w:val="20"/>
              </w:rPr>
            </w:pPr>
            <w:r>
              <w:rPr>
                <w:sz w:val="20"/>
                <w:szCs w:val="20"/>
              </w:rPr>
              <w:t xml:space="preserve">Bodily / Kinesthetic </w:t>
            </w:r>
          </w:p>
          <w:p w:rsidR="00A35F59" w:rsidRDefault="00A35F59">
            <w:pPr>
              <w:pStyle w:val="Default"/>
              <w:spacing w:before="100" w:after="100"/>
              <w:jc w:val="center"/>
              <w:rPr>
                <w:sz w:val="20"/>
                <w:szCs w:val="20"/>
              </w:rPr>
            </w:pPr>
            <w:r>
              <w:rPr>
                <w:sz w:val="20"/>
                <w:szCs w:val="20"/>
              </w:rPr>
              <w:t xml:space="preserve">Musical / Rhythmic </w:t>
            </w:r>
          </w:p>
          <w:p w:rsidR="00A35F59" w:rsidRDefault="00A35F59">
            <w:pPr>
              <w:pStyle w:val="Default"/>
              <w:spacing w:before="100" w:after="100"/>
              <w:jc w:val="center"/>
              <w:rPr>
                <w:sz w:val="20"/>
                <w:szCs w:val="20"/>
              </w:rPr>
            </w:pPr>
            <w:r>
              <w:rPr>
                <w:sz w:val="20"/>
                <w:szCs w:val="20"/>
              </w:rPr>
              <w:t xml:space="preserve"> Naturalist</w:t>
            </w:r>
          </w:p>
        </w:tc>
        <w:tc>
          <w:tcPr>
            <w:tcW w:w="2935" w:type="dxa"/>
          </w:tcPr>
          <w:p w:rsidR="00A35F59" w:rsidRDefault="00A35F59">
            <w:pPr>
              <w:pStyle w:val="Default"/>
              <w:spacing w:before="100" w:after="100"/>
              <w:jc w:val="center"/>
              <w:rPr>
                <w:sz w:val="28"/>
                <w:szCs w:val="28"/>
              </w:rPr>
            </w:pPr>
            <w:r>
              <w:rPr>
                <w:b/>
                <w:bCs/>
                <w:sz w:val="28"/>
                <w:szCs w:val="28"/>
              </w:rPr>
              <w:t xml:space="preserve">Breaking Ranks in the Middle </w:t>
            </w:r>
          </w:p>
          <w:p w:rsidR="00A35F59" w:rsidRDefault="00A35F59">
            <w:pPr>
              <w:pStyle w:val="Default"/>
              <w:spacing w:before="100" w:after="100"/>
              <w:jc w:val="center"/>
              <w:rPr>
                <w:sz w:val="20"/>
                <w:szCs w:val="20"/>
              </w:rPr>
            </w:pPr>
            <w:r>
              <w:rPr>
                <w:sz w:val="20"/>
                <w:szCs w:val="20"/>
              </w:rPr>
              <w:t xml:space="preserve">1) Identify Essential Skills and Align Strategies </w:t>
            </w:r>
          </w:p>
          <w:p w:rsidR="00A35F59" w:rsidRDefault="00A35F59">
            <w:pPr>
              <w:pStyle w:val="Default"/>
              <w:spacing w:before="100" w:after="100"/>
              <w:jc w:val="center"/>
              <w:rPr>
                <w:sz w:val="20"/>
                <w:szCs w:val="20"/>
              </w:rPr>
            </w:pPr>
            <w:r>
              <w:rPr>
                <w:sz w:val="20"/>
                <w:szCs w:val="20"/>
              </w:rPr>
              <w:t xml:space="preserve">2) Recognize Every Stage </w:t>
            </w:r>
          </w:p>
          <w:p w:rsidR="00A35F59" w:rsidRDefault="00A35F59">
            <w:pPr>
              <w:pStyle w:val="Default"/>
              <w:spacing w:before="100" w:after="100"/>
              <w:jc w:val="center"/>
              <w:rPr>
                <w:sz w:val="20"/>
                <w:szCs w:val="20"/>
              </w:rPr>
            </w:pPr>
            <w:r>
              <w:rPr>
                <w:sz w:val="20"/>
                <w:szCs w:val="20"/>
              </w:rPr>
              <w:t xml:space="preserve">3) Provide Smooth Transition </w:t>
            </w:r>
          </w:p>
          <w:p w:rsidR="00A35F59" w:rsidRDefault="00A35F59">
            <w:pPr>
              <w:pStyle w:val="Default"/>
              <w:spacing w:before="100" w:after="100"/>
              <w:jc w:val="center"/>
              <w:rPr>
                <w:sz w:val="20"/>
                <w:szCs w:val="20"/>
              </w:rPr>
            </w:pPr>
            <w:r>
              <w:rPr>
                <w:sz w:val="20"/>
                <w:szCs w:val="20"/>
              </w:rPr>
              <w:t xml:space="preserve">4) Engage Families as Partners </w:t>
            </w:r>
          </w:p>
          <w:p w:rsidR="00A35F59" w:rsidRDefault="00A35F59">
            <w:pPr>
              <w:pStyle w:val="Default"/>
              <w:spacing w:before="100" w:after="100"/>
              <w:jc w:val="center"/>
              <w:rPr>
                <w:sz w:val="16"/>
                <w:szCs w:val="16"/>
              </w:rPr>
            </w:pPr>
            <w:r>
              <w:rPr>
                <w:sz w:val="20"/>
                <w:szCs w:val="20"/>
              </w:rPr>
              <w:t xml:space="preserve">5) Integrate Technology </w:t>
            </w:r>
            <w:r>
              <w:rPr>
                <w:sz w:val="16"/>
                <w:szCs w:val="16"/>
              </w:rPr>
              <w:t xml:space="preserve">and more... </w:t>
            </w:r>
          </w:p>
        </w:tc>
        <w:tc>
          <w:tcPr>
            <w:tcW w:w="2935" w:type="dxa"/>
          </w:tcPr>
          <w:p w:rsidR="00A35F59" w:rsidRDefault="00A35F59">
            <w:pPr>
              <w:pStyle w:val="Default"/>
              <w:spacing w:before="100" w:after="100"/>
              <w:jc w:val="center"/>
              <w:rPr>
                <w:b/>
                <w:bCs/>
                <w:sz w:val="28"/>
                <w:szCs w:val="28"/>
              </w:rPr>
            </w:pPr>
            <w:r>
              <w:rPr>
                <w:b/>
                <w:bCs/>
                <w:sz w:val="28"/>
                <w:szCs w:val="28"/>
              </w:rPr>
              <w:t xml:space="preserve">MTSS </w:t>
            </w:r>
          </w:p>
          <w:p w:rsidR="00A35F59" w:rsidRDefault="00A35F59">
            <w:pPr>
              <w:pStyle w:val="Default"/>
              <w:spacing w:before="100" w:after="100"/>
              <w:jc w:val="center"/>
              <w:rPr>
                <w:sz w:val="20"/>
                <w:szCs w:val="20"/>
              </w:rPr>
            </w:pPr>
            <w:r>
              <w:rPr>
                <w:sz w:val="20"/>
                <w:szCs w:val="20"/>
              </w:rPr>
              <w:t>Multi-Tiered System of Support.</w:t>
            </w:r>
          </w:p>
          <w:p w:rsidR="00A35F59" w:rsidRDefault="00A35F59">
            <w:pPr>
              <w:pStyle w:val="Default"/>
              <w:spacing w:before="100" w:after="100"/>
              <w:jc w:val="center"/>
              <w:rPr>
                <w:sz w:val="20"/>
                <w:szCs w:val="20"/>
              </w:rPr>
            </w:pPr>
            <w:r>
              <w:rPr>
                <w:sz w:val="20"/>
                <w:szCs w:val="20"/>
              </w:rPr>
              <w:t xml:space="preserve"> What will . . . . </w:t>
            </w:r>
          </w:p>
          <w:p w:rsidR="00A35F59" w:rsidRDefault="00A35F59">
            <w:pPr>
              <w:pStyle w:val="Default"/>
              <w:spacing w:before="100" w:after="100"/>
              <w:jc w:val="center"/>
              <w:rPr>
                <w:sz w:val="20"/>
                <w:szCs w:val="20"/>
              </w:rPr>
            </w:pPr>
            <w:r>
              <w:rPr>
                <w:sz w:val="20"/>
                <w:szCs w:val="20"/>
              </w:rPr>
              <w:t xml:space="preserve">1) All students be able to do? </w:t>
            </w:r>
          </w:p>
          <w:p w:rsidR="00A35F59" w:rsidRDefault="00A35F59">
            <w:pPr>
              <w:pStyle w:val="Default"/>
              <w:spacing w:before="100" w:after="100"/>
              <w:jc w:val="center"/>
              <w:rPr>
                <w:sz w:val="20"/>
                <w:szCs w:val="20"/>
              </w:rPr>
            </w:pPr>
            <w:r>
              <w:rPr>
                <w:sz w:val="20"/>
                <w:szCs w:val="20"/>
              </w:rPr>
              <w:t xml:space="preserve">2) Some be able to do? </w:t>
            </w:r>
          </w:p>
          <w:p w:rsidR="00A35F59" w:rsidRDefault="00A35F59">
            <w:pPr>
              <w:pStyle w:val="Default"/>
              <w:spacing w:before="100" w:after="100"/>
              <w:jc w:val="center"/>
              <w:rPr>
                <w:sz w:val="20"/>
                <w:szCs w:val="20"/>
              </w:rPr>
            </w:pPr>
            <w:r>
              <w:rPr>
                <w:sz w:val="20"/>
                <w:szCs w:val="20"/>
              </w:rPr>
              <w:t xml:space="preserve">3) Few be able to do? </w:t>
            </w:r>
          </w:p>
          <w:p w:rsidR="00A35F59" w:rsidRDefault="00A35F59">
            <w:pPr>
              <w:pStyle w:val="Default"/>
              <w:spacing w:before="100" w:after="100"/>
              <w:jc w:val="center"/>
              <w:rPr>
                <w:sz w:val="20"/>
                <w:szCs w:val="20"/>
              </w:rPr>
            </w:pPr>
            <w:r>
              <w:rPr>
                <w:sz w:val="20"/>
                <w:szCs w:val="20"/>
              </w:rPr>
              <w:t xml:space="preserve">Expectations &amp; Challenges for Every Student above or below grade level </w:t>
            </w:r>
          </w:p>
        </w:tc>
      </w:tr>
      <w:tr w:rsidR="00A35F59">
        <w:trPr>
          <w:trHeight w:val="197"/>
        </w:trPr>
        <w:tc>
          <w:tcPr>
            <w:tcW w:w="11741" w:type="dxa"/>
            <w:gridSpan w:val="4"/>
          </w:tcPr>
          <w:p w:rsidR="00A96BE3" w:rsidRDefault="00A96BE3">
            <w:pPr>
              <w:pStyle w:val="Default"/>
              <w:spacing w:before="100" w:after="100"/>
              <w:jc w:val="center"/>
              <w:rPr>
                <w:b/>
                <w:bCs/>
                <w:sz w:val="28"/>
                <w:szCs w:val="28"/>
              </w:rPr>
            </w:pPr>
          </w:p>
          <w:p w:rsidR="00A96BE3" w:rsidRDefault="00A96BE3">
            <w:pPr>
              <w:pStyle w:val="Default"/>
              <w:spacing w:before="100" w:after="100"/>
              <w:jc w:val="center"/>
              <w:rPr>
                <w:b/>
                <w:bCs/>
                <w:sz w:val="28"/>
                <w:szCs w:val="28"/>
              </w:rPr>
            </w:pPr>
          </w:p>
          <w:p w:rsidR="00A35F59" w:rsidRDefault="00A35F59">
            <w:pPr>
              <w:pStyle w:val="Default"/>
              <w:spacing w:before="100" w:after="100"/>
              <w:jc w:val="center"/>
              <w:rPr>
                <w:rFonts w:ascii="Arial" w:hAnsi="Arial" w:cs="Arial"/>
                <w:sz w:val="20"/>
                <w:szCs w:val="20"/>
              </w:rPr>
            </w:pPr>
            <w:r>
              <w:rPr>
                <w:b/>
                <w:bCs/>
                <w:sz w:val="28"/>
                <w:szCs w:val="28"/>
              </w:rPr>
              <w:t xml:space="preserve">Other Strategies? </w:t>
            </w:r>
            <w:r>
              <w:rPr>
                <w:rFonts w:ascii="Arial" w:hAnsi="Arial" w:cs="Arial"/>
                <w:sz w:val="20"/>
                <w:szCs w:val="20"/>
              </w:rPr>
              <w:t xml:space="preserve">CSM Supports the Integration of ALL High-Yield Instructional Strategies </w:t>
            </w:r>
          </w:p>
        </w:tc>
      </w:tr>
    </w:tbl>
    <w:p w:rsidR="00A35F59" w:rsidRDefault="00A35F59" w:rsidP="00F277E5">
      <w:pPr>
        <w:spacing w:after="0"/>
        <w:rPr>
          <w:rFonts w:ascii="ComicSansMS" w:hAnsi="ComicSansMS" w:cs="ComicSansMS"/>
          <w:sz w:val="20"/>
          <w:szCs w:val="20"/>
        </w:rPr>
        <w:sectPr w:rsidR="00A35F59" w:rsidSect="00A35F59">
          <w:type w:val="continuous"/>
          <w:pgSz w:w="12240" w:h="15840"/>
          <w:pgMar w:top="720" w:right="720" w:bottom="720" w:left="720" w:header="720" w:footer="720" w:gutter="0"/>
          <w:cols w:space="720"/>
          <w:docGrid w:linePitch="360"/>
        </w:sectPr>
      </w:pPr>
    </w:p>
    <w:p w:rsidR="00A35F59" w:rsidRPr="00EB7AF0" w:rsidRDefault="00A35F59" w:rsidP="00F277E5">
      <w:pPr>
        <w:spacing w:after="0"/>
        <w:rPr>
          <w:rFonts w:ascii="ComicSansMS" w:hAnsi="ComicSansMS" w:cs="ComicSansMS"/>
          <w:sz w:val="20"/>
          <w:szCs w:val="20"/>
        </w:rPr>
      </w:pPr>
    </w:p>
    <w:sectPr w:rsidR="00A35F59" w:rsidRPr="00EB7AF0" w:rsidSect="00E807BF">
      <w:type w:val="continuous"/>
      <w:pgSz w:w="12240" w:h="15840"/>
      <w:pgMar w:top="720" w:right="720" w:bottom="720" w:left="72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EB7AF0"/>
    <w:rsid w:val="000767FA"/>
    <w:rsid w:val="000D22F8"/>
    <w:rsid w:val="0016622E"/>
    <w:rsid w:val="002037AE"/>
    <w:rsid w:val="00215F8B"/>
    <w:rsid w:val="007B1A09"/>
    <w:rsid w:val="007E6DDA"/>
    <w:rsid w:val="008D0BD1"/>
    <w:rsid w:val="009174B2"/>
    <w:rsid w:val="00A35F59"/>
    <w:rsid w:val="00A96BE3"/>
    <w:rsid w:val="00B2650E"/>
    <w:rsid w:val="00BF0140"/>
    <w:rsid w:val="00D35E70"/>
    <w:rsid w:val="00E52DA5"/>
    <w:rsid w:val="00E807BF"/>
    <w:rsid w:val="00EB7AF0"/>
    <w:rsid w:val="00F277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7FA"/>
  </w:style>
  <w:style w:type="paragraph" w:styleId="Heading2">
    <w:name w:val="heading 2"/>
    <w:basedOn w:val="Normal"/>
    <w:link w:val="Heading2Char"/>
    <w:uiPriority w:val="9"/>
    <w:qFormat/>
    <w:rsid w:val="00F277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277E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277E5"/>
    <w:rPr>
      <w:color w:val="0000FF"/>
      <w:u w:val="single"/>
    </w:rPr>
  </w:style>
  <w:style w:type="paragraph" w:styleId="NormalWeb">
    <w:name w:val="Normal (Web)"/>
    <w:basedOn w:val="Normal"/>
    <w:uiPriority w:val="99"/>
    <w:semiHidden/>
    <w:unhideWhenUsed/>
    <w:rsid w:val="00F277E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DA5"/>
    <w:pPr>
      <w:ind w:left="720"/>
      <w:contextualSpacing/>
    </w:pPr>
  </w:style>
  <w:style w:type="paragraph" w:customStyle="1" w:styleId="Default">
    <w:name w:val="Default"/>
    <w:rsid w:val="00A35F59"/>
    <w:pPr>
      <w:autoSpaceDE w:val="0"/>
      <w:autoSpaceDN w:val="0"/>
      <w:adjustRightInd w:val="0"/>
      <w:spacing w:after="0" w:line="240" w:lineRule="auto"/>
    </w:pPr>
    <w:rPr>
      <w:rFonts w:ascii="Arial Narrow" w:hAnsi="Arial Narrow" w:cs="Arial Narrow"/>
      <w:color w:val="000000"/>
      <w:sz w:val="24"/>
      <w:szCs w:val="24"/>
    </w:rPr>
  </w:style>
</w:styles>
</file>

<file path=word/webSettings.xml><?xml version="1.0" encoding="utf-8"?>
<w:webSettings xmlns:r="http://schemas.openxmlformats.org/officeDocument/2006/relationships" xmlns:w="http://schemas.openxmlformats.org/wordprocessingml/2006/main">
  <w:divs>
    <w:div w:id="583346022">
      <w:bodyDiv w:val="1"/>
      <w:marLeft w:val="0"/>
      <w:marRight w:val="0"/>
      <w:marTop w:val="0"/>
      <w:marBottom w:val="0"/>
      <w:divBdr>
        <w:top w:val="none" w:sz="0" w:space="0" w:color="auto"/>
        <w:left w:val="none" w:sz="0" w:space="0" w:color="auto"/>
        <w:bottom w:val="none" w:sz="0" w:space="0" w:color="auto"/>
        <w:right w:val="none" w:sz="0" w:space="0" w:color="auto"/>
      </w:divBdr>
      <w:divsChild>
        <w:div w:id="776754126">
          <w:marLeft w:val="0"/>
          <w:marRight w:val="0"/>
          <w:marTop w:val="0"/>
          <w:marBottom w:val="0"/>
          <w:divBdr>
            <w:top w:val="none" w:sz="0" w:space="0" w:color="auto"/>
            <w:left w:val="none" w:sz="0" w:space="0" w:color="auto"/>
            <w:bottom w:val="none" w:sz="0" w:space="0" w:color="auto"/>
            <w:right w:val="none" w:sz="0" w:space="0" w:color="auto"/>
          </w:divBdr>
          <w:divsChild>
            <w:div w:id="478152509">
              <w:marLeft w:val="0"/>
              <w:marRight w:val="0"/>
              <w:marTop w:val="0"/>
              <w:marBottom w:val="0"/>
              <w:divBdr>
                <w:top w:val="none" w:sz="0" w:space="0" w:color="auto"/>
                <w:left w:val="none" w:sz="0" w:space="0" w:color="auto"/>
                <w:bottom w:val="none" w:sz="0" w:space="0" w:color="auto"/>
                <w:right w:val="none" w:sz="0" w:space="0" w:color="auto"/>
              </w:divBdr>
              <w:divsChild>
                <w:div w:id="607739301">
                  <w:marLeft w:val="0"/>
                  <w:marRight w:val="0"/>
                  <w:marTop w:val="0"/>
                  <w:marBottom w:val="0"/>
                  <w:divBdr>
                    <w:top w:val="none" w:sz="0" w:space="0" w:color="auto"/>
                    <w:left w:val="none" w:sz="0" w:space="0" w:color="auto"/>
                    <w:bottom w:val="none" w:sz="0" w:space="0" w:color="auto"/>
                    <w:right w:val="none" w:sz="0" w:space="0" w:color="auto"/>
                  </w:divBdr>
                  <w:divsChild>
                    <w:div w:id="66100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tc.org/focus/strategies/simu.php" TargetMode="External"/><Relationship Id="rId4" Type="http://schemas.openxmlformats.org/officeDocument/2006/relationships/hyperlink" Target="http://www.netc.org/focus/strategies/them.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lisa.huddleston</dc:creator>
  <cp:keywords/>
  <dc:description/>
  <cp:lastModifiedBy>lisa.huddleston</cp:lastModifiedBy>
  <cp:revision>2</cp:revision>
  <dcterms:created xsi:type="dcterms:W3CDTF">2011-04-22T16:16:00Z</dcterms:created>
  <dcterms:modified xsi:type="dcterms:W3CDTF">2011-04-22T16:16:00Z</dcterms:modified>
</cp:coreProperties>
</file>